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Issue 1: Race, religion, and culture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Publicly Funded Catholic Schools in Canada 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Constitutionality, changes through history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Good Spirit School Division No. 204 v Christ the Teacher Roman Catholic Separate School Division No. 212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Waldman v Canada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Black Lives Matter movement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Their policy suggestions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Defund the Police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Breakdown of Ottawa policy budget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Organizations that are playing a role and could play greater roles with more funding / orgs to support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Diversity in the public service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Historical analysis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Current policies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Policy solutions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PAPM/AKC related discourse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Urban / Rural Cultural Divide 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Wi-Fi / Broadband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Access to education in areas without reliable internet access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Indigenous Peoples in Canada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TRC &amp; MMIWG Report implementation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&amp; Voluntourism and Tourism generally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Mik’maw Fisherman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Bill 21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Non-Issue 1 Content: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COVID-19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End of CERB, other financial support with potential incoming second wave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Election during a pandemic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Evaluation of student benefits + back to school plan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does Canada compare to other countries? What should we learn from others?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Foreign Affairs topics: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Border with the US (either COVID, Safe Third Party or Quebec)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Evaluation of discourse vs actions of feminist foreign policy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social media is affecting human rights abuse awareness (is it making an impactful difference?)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Upcoming Events/Commemorations/Awareness: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October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Women’s History Month - Oct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Foster Family Week - Oct 3rd week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Ontario Library Week - Oct 3rd week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Waste Reduction Week - Oct 4th week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Disarmament Week - Oct 4th week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Halloween - Oct 31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b w:val="1"/>
          <w:rtl w:val="0"/>
        </w:rPr>
        <w:t xml:space="preserve">November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Remembrance Day - Nov 11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Movember - Nov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Media Literacy Week - Nov 1st week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Veterans’ Week - Nov 1st week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Canadian Hockey Week - Nov 2nd week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National Philanthropy Day - Nov 15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Transgender Day of Remembrance - Nov 20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Restorative Justice Week - Nov 3rd week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White Ribbon Campaign - Nov 25 - December 6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National Child Day - Nov 20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International Day for the Elimination of VIolence Against Women - Nov 25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December 3 - National Person with Disability Day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